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120" w:afterAutospacing="0" w:line="288" w:lineRule="atLeast"/>
        <w:jc w:val="center"/>
        <w:rPr>
          <w:rFonts w:ascii="仿宋" w:hAnsi="仿宋" w:eastAsia="仿宋" w:cs="仿宋"/>
          <w:color w:val="000000"/>
        </w:rPr>
      </w:pPr>
      <w:r>
        <w:rPr>
          <w:rStyle w:val="5"/>
          <w:rFonts w:hint="eastAsia" w:ascii="仿宋" w:hAnsi="仿宋" w:eastAsia="仿宋" w:cs="仿宋"/>
          <w:color w:val="000000"/>
          <w:sz w:val="36"/>
          <w:szCs w:val="36"/>
        </w:rPr>
        <w:t>国务院关于印发统筹推进世界一流大学和</w:t>
      </w:r>
      <w:r>
        <w:rPr>
          <w:rStyle w:val="5"/>
          <w:rFonts w:hint="eastAsia" w:ascii="仿宋" w:hAnsi="仿宋" w:eastAsia="仿宋" w:cs="仿宋"/>
          <w:color w:val="000000"/>
          <w:sz w:val="36"/>
          <w:szCs w:val="36"/>
        </w:rPr>
        <w:br w:type="textWrapping"/>
      </w:r>
      <w:r>
        <w:rPr>
          <w:rStyle w:val="5"/>
          <w:rFonts w:hint="eastAsia" w:ascii="仿宋" w:hAnsi="仿宋" w:eastAsia="仿宋" w:cs="仿宋"/>
          <w:color w:val="000000"/>
          <w:sz w:val="36"/>
          <w:szCs w:val="36"/>
        </w:rPr>
        <w:t>一流学科建设总体方案的通知</w:t>
      </w:r>
      <w:r>
        <w:rPr>
          <w:rStyle w:val="5"/>
          <w:rFonts w:hint="eastAsia" w:ascii="宋体" w:hAnsi="宋体" w:eastAsia="宋体" w:cs="宋体"/>
          <w:color w:val="000000"/>
          <w:sz w:val="36"/>
          <w:szCs w:val="36"/>
        </w:rPr>
        <w:br w:type="textWrapping"/>
      </w:r>
      <w:r>
        <w:rPr>
          <w:rFonts w:hint="eastAsia" w:ascii="仿宋" w:hAnsi="仿宋" w:eastAsia="仿宋" w:cs="仿宋"/>
          <w:color w:val="4B4B4B"/>
          <w:sz w:val="28"/>
          <w:szCs w:val="28"/>
        </w:rPr>
        <w:t>国发〔2015〕64号</w:t>
      </w:r>
    </w:p>
    <w:p>
      <w:pPr>
        <w:pStyle w:val="3"/>
        <w:widowControl/>
        <w:spacing w:beforeAutospacing="0" w:after="120" w:afterAutospacing="0" w:line="288" w:lineRule="atLeast"/>
        <w:jc w:val="center"/>
        <w:rPr>
          <w:rFonts w:ascii="仿宋" w:hAnsi="仿宋" w:eastAsia="仿宋" w:cs="仿宋"/>
          <w:color w:val="000000"/>
        </w:rPr>
      </w:pPr>
    </w:p>
    <w:p>
      <w:pPr>
        <w:pStyle w:val="3"/>
        <w:widowControl/>
        <w:spacing w:beforeAutospacing="0" w:after="120" w:afterAutospacing="0" w:line="288" w:lineRule="atLeast"/>
        <w:jc w:val="both"/>
        <w:rPr>
          <w:rFonts w:ascii="仿宋" w:hAnsi="仿宋" w:eastAsia="仿宋" w:cs="仿宋"/>
          <w:color w:val="000000"/>
        </w:rPr>
      </w:pPr>
    </w:p>
    <w:p>
      <w:pPr>
        <w:pStyle w:val="3"/>
        <w:widowControl/>
        <w:spacing w:beforeAutospacing="0" w:after="120" w:afterAutospacing="0" w:line="288" w:lineRule="atLeast"/>
        <w:rPr>
          <w:rFonts w:ascii="仿宋" w:hAnsi="仿宋" w:eastAsia="仿宋" w:cs="仿宋"/>
          <w:color w:val="4B4B4B"/>
          <w:sz w:val="28"/>
          <w:szCs w:val="28"/>
        </w:rPr>
      </w:pPr>
      <w:r>
        <w:rPr>
          <w:rFonts w:hint="eastAsia" w:ascii="仿宋" w:hAnsi="仿宋" w:eastAsia="仿宋" w:cs="仿宋"/>
          <w:color w:val="4B4B4B"/>
          <w:sz w:val="28"/>
          <w:szCs w:val="28"/>
        </w:rPr>
        <w:t>各省、自治区、直辖市人民政府，国务院各部委、各直属机构：</w:t>
      </w:r>
      <w:r>
        <w:rPr>
          <w:rFonts w:hint="eastAsia" w:ascii="仿宋" w:hAnsi="仿宋" w:eastAsia="仿宋" w:cs="仿宋"/>
          <w:color w:val="4B4B4B"/>
          <w:sz w:val="28"/>
          <w:szCs w:val="28"/>
        </w:rPr>
        <w:br w:type="textWrapping"/>
      </w:r>
      <w:r>
        <w:rPr>
          <w:rFonts w:hint="eastAsia" w:ascii="仿宋" w:hAnsi="仿宋" w:eastAsia="仿宋" w:cs="仿宋"/>
          <w:color w:val="4B4B4B"/>
          <w:sz w:val="28"/>
          <w:szCs w:val="28"/>
        </w:rPr>
        <w:t>　　现将《统筹推进世界一流大学和一流学科建设总体方案》印发给你们，请认真贯彻落实。</w:t>
      </w:r>
    </w:p>
    <w:p>
      <w:pPr>
        <w:pStyle w:val="3"/>
        <w:widowControl/>
        <w:spacing w:beforeAutospacing="0" w:after="120" w:afterAutospacing="0" w:line="288" w:lineRule="atLeast"/>
        <w:jc w:val="right"/>
        <w:rPr>
          <w:rFonts w:ascii="仿宋" w:hAnsi="仿宋" w:eastAsia="仿宋" w:cs="仿宋"/>
          <w:color w:val="4B4B4B"/>
          <w:sz w:val="28"/>
          <w:szCs w:val="28"/>
        </w:rPr>
      </w:pPr>
      <w:r>
        <w:rPr>
          <w:rFonts w:hint="eastAsia" w:ascii="仿宋" w:hAnsi="仿宋" w:eastAsia="仿宋" w:cs="仿宋"/>
          <w:color w:val="4B4B4B"/>
          <w:sz w:val="28"/>
          <w:szCs w:val="28"/>
        </w:rPr>
        <w:t>　　　　　　　　　　　　　　　　　　　　　　　　　　　　　国务院</w:t>
      </w:r>
      <w:r>
        <w:rPr>
          <w:rFonts w:hint="eastAsia" w:ascii="仿宋" w:hAnsi="仿宋" w:eastAsia="仿宋" w:cs="仿宋"/>
          <w:color w:val="4B4B4B"/>
          <w:sz w:val="28"/>
          <w:szCs w:val="28"/>
        </w:rPr>
        <w:br w:type="textWrapping"/>
      </w:r>
      <w:r>
        <w:rPr>
          <w:rFonts w:hint="eastAsia" w:ascii="仿宋" w:hAnsi="仿宋" w:eastAsia="仿宋" w:cs="仿宋"/>
          <w:color w:val="4B4B4B"/>
          <w:sz w:val="28"/>
          <w:szCs w:val="28"/>
        </w:rPr>
        <w:t>　　　　　　　　　　　　　　　　　　　　　2015年10月24日</w:t>
      </w:r>
    </w:p>
    <w:p/>
    <w:p/>
    <w:p>
      <w:pPr>
        <w:widowControl/>
        <w:shd w:val="clear" w:color="auto" w:fill="FFFFFF"/>
        <w:spacing w:before="100" w:beforeAutospacing="1" w:after="100" w:afterAutospacing="1" w:line="480" w:lineRule="atLeast"/>
        <w:jc w:val="center"/>
        <w:rPr>
          <w:rFonts w:asciiTheme="majorEastAsia" w:hAnsiTheme="majorEastAsia" w:eastAsiaTheme="majorEastAsia" w:cstheme="majorEastAsia"/>
          <w:b/>
          <w:bCs/>
          <w:sz w:val="32"/>
          <w:szCs w:val="28"/>
        </w:rPr>
      </w:pPr>
      <w:r>
        <w:rPr>
          <w:rStyle w:val="5"/>
          <w:rFonts w:hint="eastAsia" w:ascii="仿宋" w:hAnsi="仿宋" w:eastAsia="仿宋" w:cs="仿宋"/>
          <w:color w:val="000000"/>
          <w:kern w:val="0"/>
          <w:sz w:val="36"/>
          <w:szCs w:val="36"/>
          <w:lang w:bidi="ar"/>
        </w:rPr>
        <w:t>统</w:t>
      </w:r>
      <w:r>
        <w:rPr>
          <w:rFonts w:hint="eastAsia" w:asciiTheme="majorEastAsia" w:hAnsiTheme="majorEastAsia" w:eastAsiaTheme="majorEastAsia" w:cstheme="majorEastAsia"/>
          <w:b/>
          <w:bCs/>
          <w:sz w:val="32"/>
          <w:szCs w:val="28"/>
        </w:rPr>
        <w:t>筹推进世界一流大学和一流学科建设总体方案</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ascii="Times New Roman" w:hAnsi="Times New Roman" w:eastAsia="华文仿宋" w:cs="Times New Roman"/>
          <w:color w:val="4B4B4B"/>
          <w:kern w:val="0"/>
          <w:sz w:val="24"/>
        </w:rPr>
        <w:t>　</w:t>
      </w:r>
      <w:r>
        <w:rPr>
          <w:rFonts w:ascii="Times New Roman" w:hAnsi="Times New Roman" w:eastAsia="华文仿宋" w:cs="Times New Roman"/>
          <w:color w:val="4B4B4B"/>
          <w:kern w:val="0"/>
          <w:sz w:val="30"/>
          <w:szCs w:val="30"/>
        </w:rPr>
        <w:t>　</w:t>
      </w:r>
      <w:r>
        <w:rPr>
          <w:rFonts w:hint="eastAsia" w:ascii="仿宋" w:hAnsi="仿宋" w:eastAsia="仿宋" w:cs="仿宋"/>
          <w:color w:val="4B4B4B"/>
          <w:kern w:val="0"/>
          <w:sz w:val="28"/>
          <w:szCs w:val="28"/>
        </w:rPr>
        <w:t>建设世界一流大学和一流学科，是党中央、国务院作出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Theme="majorEastAsia" w:hAnsiTheme="majorEastAsia" w:eastAsiaTheme="majorEastAsia" w:cstheme="majorEastAsia"/>
          <w:color w:val="4B4B4B"/>
          <w:kern w:val="0"/>
          <w:sz w:val="28"/>
          <w:szCs w:val="28"/>
        </w:rPr>
        <w:t>　</w:t>
      </w:r>
      <w:r>
        <w:rPr>
          <w:rFonts w:hint="eastAsia" w:asciiTheme="majorEastAsia" w:hAnsiTheme="majorEastAsia" w:eastAsiaTheme="majorEastAsia" w:cstheme="majorEastAsia"/>
          <w:b/>
          <w:bCs/>
          <w:kern w:val="0"/>
          <w:sz w:val="28"/>
          <w:szCs w:val="28"/>
        </w:rPr>
        <w:t>一、总体要求</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　（一）指导思想。</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（二）基本原则。</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——坚持以一流为目标。引导和支持具备一定实力的高水平大学和高水平学科瞄准世界一流，汇聚优质资源，培养一流人才，产出一流成果，加快走向世界一流。</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——坚持以学科为基础。引导和支持高等学校优化学科结构，凝练学科发展方向，突出学科建设重点，创新学科组织模式，打造更多学科高峰，带动学校发挥优势、办出特色。</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以绩效为杠杆。建立激励约束机制，鼓励公平竞争，强化目标管理，突出建设实效，构建完善中国特色的世界一流大学和一流学科评价体系，充分激发高校内生动力和发展活力，引导高等学校不断提升办学水平。</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——坚持以改革为动力。深化高校综合改革，加快中国特色现代大学制度建设，着力破除体制机制障碍，加快构建充满活力、富有效率、更加开放、有利于学校科学发展的体制机制，当好教育改革排头兵。</w:t>
      </w:r>
    </w:p>
    <w:p>
      <w:pPr>
        <w:widowControl/>
        <w:shd w:val="clear" w:color="auto" w:fill="FFFFFF"/>
        <w:spacing w:before="100" w:beforeAutospacing="1" w:after="100" w:afterAutospacing="1" w:line="480" w:lineRule="atLeast"/>
        <w:jc w:val="left"/>
        <w:rPr>
          <w:rFonts w:ascii="仿宋" w:hAnsi="仿宋" w:eastAsia="仿宋" w:cs="仿宋"/>
          <w:b/>
          <w:bCs/>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color w:val="4B4B4B"/>
          <w:kern w:val="0"/>
          <w:sz w:val="28"/>
          <w:szCs w:val="28"/>
        </w:rPr>
        <w:t>　</w:t>
      </w:r>
      <w:r>
        <w:rPr>
          <w:rFonts w:hint="eastAsia" w:ascii="仿宋" w:hAnsi="仿宋" w:eastAsia="仿宋" w:cs="仿宋"/>
          <w:b/>
          <w:bCs/>
          <w:kern w:val="0"/>
          <w:sz w:val="28"/>
          <w:szCs w:val="28"/>
        </w:rPr>
        <w:t>（三）总体目标。</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——到2020年，若干所大学和一批学科进入世界一流行列，若干学科进入世界一流学科前列。</w:t>
      </w:r>
    </w:p>
    <w:p>
      <w:pPr>
        <w:widowControl/>
        <w:shd w:val="clear" w:color="auto" w:fill="FFFFFF"/>
        <w:spacing w:before="100" w:beforeAutospacing="1" w:after="100" w:afterAutospacing="1" w:line="480" w:lineRule="atLeast"/>
        <w:ind w:firstLine="560" w:firstLineChars="200"/>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——到2030年，更多的大学和学科进入世界一流行列，若干所大学进入世界一流大学前列，一批学科进入世界一流学科前列，高等教育整体实力显著提升。</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——到本世纪中叶，一流大学和一流学科的数量和实力进入世界前列，基本建成高等教育强国。</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color w:val="4B4B4B"/>
          <w:kern w:val="0"/>
          <w:sz w:val="28"/>
          <w:szCs w:val="28"/>
        </w:rPr>
        <w:t>　</w:t>
      </w:r>
      <w:r>
        <w:rPr>
          <w:rFonts w:hint="eastAsia" w:asciiTheme="majorEastAsia" w:hAnsiTheme="majorEastAsia" w:eastAsiaTheme="majorEastAsia" w:cstheme="majorEastAsia"/>
          <w:b/>
          <w:bCs/>
          <w:kern w:val="0"/>
          <w:sz w:val="28"/>
          <w:szCs w:val="28"/>
        </w:rPr>
        <w:t>二、建设任务</w:t>
      </w:r>
    </w:p>
    <w:p>
      <w:pPr>
        <w:widowControl/>
        <w:shd w:val="clear" w:color="auto" w:fill="FFFFFF"/>
        <w:spacing w:before="100" w:beforeAutospacing="1" w:after="100" w:afterAutospacing="1" w:line="480"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　　（四）建设一流师资队伍。</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　（五）培养拔尖创新人才。</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（六）提升科学研究水平。</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pPr>
        <w:widowControl/>
        <w:shd w:val="clear" w:color="auto" w:fill="FFFFFF"/>
        <w:spacing w:before="100" w:beforeAutospacing="1" w:after="100" w:afterAutospacing="1" w:line="480" w:lineRule="atLeast"/>
        <w:jc w:val="left"/>
        <w:rPr>
          <w:rFonts w:ascii="仿宋" w:hAnsi="仿宋" w:eastAsia="仿宋" w:cs="仿宋"/>
          <w:b/>
          <w:bCs/>
          <w:color w:val="4B4B4B"/>
          <w:kern w:val="0"/>
          <w:sz w:val="28"/>
          <w:szCs w:val="28"/>
        </w:rPr>
      </w:pPr>
      <w:r>
        <w:rPr>
          <w:rFonts w:hint="eastAsia" w:ascii="仿宋" w:hAnsi="仿宋" w:eastAsia="仿宋" w:cs="仿宋"/>
          <w:b/>
          <w:bCs/>
          <w:color w:val="4B4B4B"/>
          <w:kern w:val="0"/>
          <w:sz w:val="28"/>
          <w:szCs w:val="28"/>
        </w:rPr>
        <w:t xml:space="preserve"> </w:t>
      </w:r>
      <w:r>
        <w:rPr>
          <w:rFonts w:hint="eastAsia" w:ascii="仿宋" w:hAnsi="仿宋" w:eastAsia="仿宋" w:cs="仿宋"/>
          <w:b/>
          <w:bCs/>
          <w:kern w:val="0"/>
          <w:sz w:val="28"/>
          <w:szCs w:val="28"/>
        </w:rPr>
        <w:t xml:space="preserve">   （七）传承创新优秀文化。</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（八）着力推进成果转化。</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pPr>
        <w:widowControl/>
        <w:shd w:val="clear" w:color="auto" w:fill="FFFFFF"/>
        <w:spacing w:before="100" w:beforeAutospacing="1" w:after="100" w:afterAutospacing="1" w:line="480" w:lineRule="atLeast"/>
        <w:jc w:val="left"/>
        <w:rPr>
          <w:rFonts w:asciiTheme="majorEastAsia" w:hAnsiTheme="majorEastAsia" w:eastAsiaTheme="majorEastAsia" w:cstheme="majorEastAsia"/>
          <w:b/>
          <w:bCs/>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color w:val="4B4B4B"/>
          <w:kern w:val="0"/>
          <w:sz w:val="28"/>
          <w:szCs w:val="28"/>
        </w:rPr>
        <w:t>　</w:t>
      </w:r>
      <w:r>
        <w:rPr>
          <w:rFonts w:hint="eastAsia" w:asciiTheme="majorEastAsia" w:hAnsiTheme="majorEastAsia" w:eastAsiaTheme="majorEastAsia" w:cstheme="majorEastAsia"/>
          <w:b/>
          <w:bCs/>
          <w:kern w:val="0"/>
          <w:sz w:val="28"/>
          <w:szCs w:val="28"/>
        </w:rPr>
        <w:t>三、改革任务</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（九）加强和改进党对高校的领导。</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color w:val="4B4B4B"/>
          <w:kern w:val="0"/>
          <w:sz w:val="28"/>
          <w:szCs w:val="28"/>
        </w:rPr>
        <w:t>　</w:t>
      </w:r>
      <w:r>
        <w:rPr>
          <w:rFonts w:hint="eastAsia" w:ascii="仿宋" w:hAnsi="仿宋" w:eastAsia="仿宋" w:cs="仿宋"/>
          <w:b/>
          <w:bCs/>
          <w:kern w:val="0"/>
          <w:sz w:val="28"/>
          <w:szCs w:val="28"/>
        </w:rPr>
        <w:t>（十）完善内部治理结构。</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color w:val="4B4B4B"/>
          <w:kern w:val="0"/>
          <w:sz w:val="28"/>
          <w:szCs w:val="28"/>
        </w:rPr>
        <w:t>　</w:t>
      </w:r>
      <w:r>
        <w:rPr>
          <w:rFonts w:hint="eastAsia" w:ascii="仿宋" w:hAnsi="仿宋" w:eastAsia="仿宋" w:cs="仿宋"/>
          <w:b/>
          <w:bCs/>
          <w:kern w:val="0"/>
          <w:sz w:val="28"/>
          <w:szCs w:val="28"/>
        </w:rPr>
        <w:t>（十一）实现关键环节突破。</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pPr>
        <w:widowControl/>
        <w:shd w:val="clear" w:color="auto" w:fill="FFFFFF"/>
        <w:spacing w:before="100" w:beforeAutospacing="1" w:after="100" w:afterAutospacing="1" w:line="480" w:lineRule="atLeast"/>
        <w:jc w:val="left"/>
        <w:rPr>
          <w:rFonts w:ascii="仿宋" w:hAnsi="仿宋" w:eastAsia="仿宋" w:cs="仿宋"/>
          <w:b/>
          <w:bCs/>
          <w:color w:val="4B4B4B"/>
          <w:kern w:val="0"/>
          <w:sz w:val="28"/>
          <w:szCs w:val="28"/>
        </w:rPr>
      </w:pPr>
      <w:r>
        <w:rPr>
          <w:rFonts w:hint="eastAsia" w:ascii="仿宋" w:hAnsi="仿宋" w:eastAsia="仿宋" w:cs="仿宋"/>
          <w:b/>
          <w:bCs/>
          <w:color w:val="4B4B4B"/>
          <w:kern w:val="0"/>
          <w:sz w:val="28"/>
          <w:szCs w:val="28"/>
        </w:rPr>
        <w:t xml:space="preserve">   </w:t>
      </w:r>
      <w:r>
        <w:rPr>
          <w:rFonts w:hint="eastAsia" w:ascii="仿宋" w:hAnsi="仿宋" w:eastAsia="仿宋" w:cs="仿宋"/>
          <w:b/>
          <w:bCs/>
          <w:kern w:val="0"/>
          <w:sz w:val="28"/>
          <w:szCs w:val="28"/>
        </w:rPr>
        <w:t xml:space="preserve"> （十二）构建社会参与机制。</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（十三）推进国际交流合作。</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b/>
          <w:bCs/>
          <w:color w:val="4B4B4B"/>
          <w:kern w:val="0"/>
          <w:sz w:val="28"/>
          <w:szCs w:val="28"/>
        </w:rPr>
        <w:t>　</w:t>
      </w:r>
      <w:r>
        <w:rPr>
          <w:rFonts w:hint="eastAsia" w:asciiTheme="majorEastAsia" w:hAnsiTheme="majorEastAsia" w:eastAsiaTheme="majorEastAsia" w:cstheme="majorEastAsia"/>
          <w:b/>
          <w:bCs/>
          <w:color w:val="4B4B4B"/>
          <w:kern w:val="0"/>
          <w:sz w:val="28"/>
          <w:szCs w:val="28"/>
        </w:rPr>
        <w:t>　</w:t>
      </w:r>
      <w:r>
        <w:rPr>
          <w:rFonts w:hint="eastAsia" w:asciiTheme="majorEastAsia" w:hAnsiTheme="majorEastAsia" w:eastAsiaTheme="majorEastAsia" w:cstheme="majorEastAsia"/>
          <w:b/>
          <w:bCs/>
          <w:kern w:val="0"/>
          <w:sz w:val="28"/>
          <w:szCs w:val="28"/>
        </w:rPr>
        <w:t>四、支持措施</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（十四）总体规划，分级支持。</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pPr>
        <w:widowControl/>
        <w:shd w:val="clear" w:color="auto" w:fill="FFFFFF"/>
        <w:spacing w:before="100" w:beforeAutospacing="1" w:after="100" w:afterAutospacing="1" w:line="480" w:lineRule="atLeast"/>
        <w:jc w:val="left"/>
        <w:rPr>
          <w:rFonts w:ascii="仿宋" w:hAnsi="仿宋" w:eastAsia="仿宋" w:cs="仿宋"/>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　（十五）强化绩效，动态支持。</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仿宋" w:hAnsi="仿宋" w:eastAsia="仿宋" w:cs="仿宋"/>
          <w:b/>
          <w:bCs/>
          <w:kern w:val="0"/>
          <w:sz w:val="28"/>
          <w:szCs w:val="28"/>
        </w:rPr>
        <w:t>（十六）多元投入，合力支持。</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建设世界一流大学和一流学科是一项长期任务，需要各方共同努力，完善政府、社会、学校相结合的共建机制，形成多元化投入、合力支持的格局。</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鼓励有关部门和行业企业积极参与一流大学和一流学科建设。围绕培养所需人才、解决重大瓶颈等问题，加强与有关高校合作，通过共建、联合培养、科技合作攻关等方式支持一流大学和一流学科建设。</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按照平稳有序、逐步推进原则，合理调整高校学费标准，进一步健全成本分担机制。高校要不断拓宽筹资渠道，积极吸引社会捐赠，扩大社会合作，健全社会支持长效机制，多渠道汇聚资源，增强自我发展能力。</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w:t>
      </w:r>
      <w:r>
        <w:rPr>
          <w:rFonts w:hint="eastAsia" w:asciiTheme="majorEastAsia" w:hAnsiTheme="majorEastAsia" w:eastAsiaTheme="majorEastAsia" w:cstheme="majorEastAsia"/>
          <w:b/>
          <w:bCs/>
          <w:kern w:val="0"/>
          <w:sz w:val="28"/>
          <w:szCs w:val="28"/>
        </w:rPr>
        <w:t>五、组织实施</w:t>
      </w:r>
    </w:p>
    <w:p>
      <w:pPr>
        <w:widowControl/>
        <w:shd w:val="clear" w:color="auto" w:fill="FFFFFF"/>
        <w:spacing w:before="100" w:beforeAutospacing="1" w:after="100" w:afterAutospacing="1" w:line="480" w:lineRule="atLeast"/>
        <w:jc w:val="left"/>
        <w:rPr>
          <w:rFonts w:ascii="仿宋" w:hAnsi="仿宋" w:eastAsia="仿宋" w:cs="仿宋"/>
          <w:b/>
          <w:bCs/>
          <w:kern w:val="0"/>
          <w:sz w:val="28"/>
          <w:szCs w:val="28"/>
        </w:rPr>
      </w:pPr>
      <w:r>
        <w:rPr>
          <w:rFonts w:hint="eastAsia" w:ascii="仿宋" w:hAnsi="仿宋" w:eastAsia="仿宋" w:cs="仿宋"/>
          <w:b/>
          <w:bCs/>
          <w:kern w:val="0"/>
          <w:sz w:val="28"/>
          <w:szCs w:val="28"/>
        </w:rPr>
        <w:t>　　（十七）加强组织管理。</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国家教育体制改革领导小组负责顶层设计、宏观布局、统筹协调、经费投入等重要事项决策，重大问题及时报告国务院。教育部、财政部、发展改革委负责规划部署、推进实施、监督管理等工作，日常工作由教育部承担。</w:t>
      </w:r>
    </w:p>
    <w:p>
      <w:pPr>
        <w:widowControl/>
        <w:shd w:val="clear" w:color="auto" w:fill="FFFFFF"/>
        <w:spacing w:before="100" w:beforeAutospacing="1" w:after="100" w:afterAutospacing="1" w:line="480" w:lineRule="atLeast"/>
        <w:jc w:val="left"/>
        <w:rPr>
          <w:rFonts w:ascii="仿宋" w:hAnsi="仿宋" w:eastAsia="仿宋" w:cs="仿宋"/>
          <w:b/>
          <w:bCs/>
          <w:color w:val="4B4B4B"/>
          <w:kern w:val="0"/>
          <w:sz w:val="28"/>
          <w:szCs w:val="28"/>
        </w:rPr>
      </w:pPr>
      <w:r>
        <w:rPr>
          <w:rFonts w:hint="eastAsia" w:ascii="仿宋" w:hAnsi="仿宋" w:eastAsia="仿宋" w:cs="仿宋"/>
          <w:b/>
          <w:bCs/>
          <w:color w:val="4B4B4B"/>
          <w:kern w:val="0"/>
          <w:sz w:val="28"/>
          <w:szCs w:val="28"/>
        </w:rPr>
        <w:t>　　</w:t>
      </w:r>
      <w:r>
        <w:rPr>
          <w:rFonts w:hint="eastAsia" w:ascii="仿宋" w:hAnsi="仿宋" w:eastAsia="仿宋" w:cs="仿宋"/>
          <w:b/>
          <w:bCs/>
          <w:kern w:val="0"/>
          <w:sz w:val="28"/>
          <w:szCs w:val="28"/>
        </w:rPr>
        <w:t>（十八）有序推进实施。</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要完善配套政策，根据本方案组织制定绩效评价和资金管理等具体办法。</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要编制建设方案，深入研究学校的建设基础、优势特色、发展潜力等，科学编制发展规划和建设方案，提出具体的建设目标、任务和周期，明确改革举措、资源配置和资金筹集等安排。</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要开展咨询论证，组织相关专家，结合经济社会发展需求和国家战略需要，对学校建设方案的科学性、可行性进行咨询论证，提出意见建议。</w:t>
      </w:r>
    </w:p>
    <w:p>
      <w:pPr>
        <w:widowControl/>
        <w:shd w:val="clear" w:color="auto" w:fill="FFFFFF"/>
        <w:spacing w:before="100" w:beforeAutospacing="1" w:after="100" w:afterAutospacing="1" w:line="480" w:lineRule="atLeast"/>
        <w:jc w:val="left"/>
        <w:rPr>
          <w:rFonts w:ascii="仿宋" w:hAnsi="仿宋" w:eastAsia="仿宋" w:cs="仿宋"/>
          <w:color w:val="4B4B4B"/>
          <w:kern w:val="0"/>
          <w:sz w:val="28"/>
          <w:szCs w:val="28"/>
        </w:rPr>
      </w:pPr>
      <w:r>
        <w:rPr>
          <w:rFonts w:hint="eastAsia" w:ascii="仿宋" w:hAnsi="仿宋" w:eastAsia="仿宋" w:cs="仿宋"/>
          <w:color w:val="4B4B4B"/>
          <w:kern w:val="0"/>
          <w:sz w:val="28"/>
          <w:szCs w:val="28"/>
        </w:rPr>
        <w:t>　　要强化跟踪指导，对建设过程实施动态监测，及时发现建设中存在的问题，提出改进的意见建议。建立信息公开公示网络平台，接受社会公众监督。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23099"/>
    <w:rsid w:val="0EC230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ocha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2018-11-09T02:54:00Z</dcterms:created>
  <dc:creator>小团子**</dc:creator>
  <cp:lastModifiedBy>小团子**</cp:lastModifiedBy>
  <dcterms:modified xsi:type="dcterms:W3CDTF">2018-11-09T02:54:55Z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